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6A" w:rsidRPr="007E1595" w:rsidRDefault="007E1595" w:rsidP="00F759C2">
      <w:pPr>
        <w:pStyle w:val="NoSpacing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ZAKON</w:t>
      </w:r>
    </w:p>
    <w:p w:rsidR="0096616A" w:rsidRPr="007E1595" w:rsidRDefault="007E1595" w:rsidP="0096616A">
      <w:pPr>
        <w:pStyle w:val="NoSpacing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O</w:t>
      </w:r>
      <w:r w:rsidR="0096616A" w:rsidRPr="007E1595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IZMJENAMA</w:t>
      </w:r>
      <w:r w:rsidR="0096616A" w:rsidRPr="007E1595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I</w:t>
      </w:r>
      <w:r w:rsidR="0096616A" w:rsidRPr="007E1595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DOPUNAMA</w:t>
      </w:r>
      <w:r w:rsidR="0096616A" w:rsidRPr="007E1595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ZAKONA</w:t>
      </w:r>
      <w:r w:rsidR="0096616A" w:rsidRPr="007E1595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O</w:t>
      </w:r>
      <w:r w:rsidR="0096616A" w:rsidRPr="007E1595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RIBARSTVU</w:t>
      </w:r>
    </w:p>
    <w:p w:rsidR="0096616A" w:rsidRPr="007E1595" w:rsidRDefault="0096616A" w:rsidP="00F759C2">
      <w:pPr>
        <w:spacing w:after="0" w:line="240" w:lineRule="auto"/>
        <w:rPr>
          <w:rFonts w:cs="Calibri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72/12)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96616A" w:rsidRPr="007E1595" w:rsidRDefault="0096616A" w:rsidP="00F759C2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dosadašnjoj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ribolovaca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“. </w:t>
      </w: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planski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obezbjeđuje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dugoročnu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politiku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widowControl w:val="0"/>
        <w:autoSpaceDE w:val="0"/>
        <w:autoSpaceDN w:val="0"/>
        <w:spacing w:after="0" w:line="240" w:lineRule="auto"/>
        <w:ind w:right="110" w:firstLine="426"/>
        <w:jc w:val="both"/>
        <w:rPr>
          <w:rFonts w:ascii="Times New Roman" w:hAnsi="Times New Roman"/>
          <w:noProof/>
          <w:color w:val="000000"/>
          <w:sz w:val="24"/>
          <w:szCs w:val="24"/>
          <w:u w:val="single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usvajanju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widowControl w:val="0"/>
        <w:autoSpaceDE w:val="0"/>
        <w:autoSpaceDN w:val="0"/>
        <w:spacing w:after="0" w:line="240" w:lineRule="auto"/>
        <w:ind w:right="11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(3)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Monitoring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kvantitativno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kvalitativnog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uzrasne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strukture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produkcije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svakih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(4)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Revizija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trajno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bitno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izmijenjeni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zasniva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odgovarajućem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padežu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izrađivati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registrovane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ihtiologije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ekologije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revizije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monitoring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kvantitativno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kvalitativnog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uzrasne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strukture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produkcije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opterećenja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procjene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sanaciju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degradiranih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opravdanosti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dodjele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koncesije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analizira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hemijskog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biološkog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primarne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sekundarne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organske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produkcije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uticaja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unošenja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introdukcija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reintrodukcija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translokacija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invazione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procjenu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uticaja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klimatskih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promjena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život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ublažavanje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posljedica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(3)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povjereno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ovlašćenje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dobijeni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istraživanjima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objavljuju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(4)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ustanovu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prenesu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registrovana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ihtiologije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ekologije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upisana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naučnoistraživačkih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ihtiologije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ekologije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naučnoistraživačke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tehnološkog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zaposleno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nastavno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osoblje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minimalno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nastavnom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zvanju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docenta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zvanju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saradnika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biotehničkih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biomedicinskih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zaposlene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saradnike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asistente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laborante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minimalno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minimalno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iskustva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struci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color w:val="2F5496"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posjeduje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laboratoriju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ihtiološke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hidrobiološke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alate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terenska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(5)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ovlašćivanju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1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18.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7, 8.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6, 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dodjeli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.“ 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3, 4, 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2, 3, 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dodijeliti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7E159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konkursom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ustupljena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ukinuto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raskinut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ustupa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konkursa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759C2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ustupi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ustupa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Sportsko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savezu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ustupa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Savezu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raspisivanja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konkursa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najduže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(4)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ustupljena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Savezu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dozvoljen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(5)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ustupanju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.“ 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7E1595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4, 5, 6, 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3, 4, 5, 6.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zagradi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odgovarajućem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padežu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„(8)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pogoršanja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hidroloških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hemijskih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bioloških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osobina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prouzrokovale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uginuće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kvalitativnog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kvantitativnog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izraditi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dopunu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8.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: „4“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„5“.</w:t>
      </w:r>
    </w:p>
    <w:p w:rsidR="0096616A" w:rsidRDefault="0096616A" w:rsidP="007E159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Pr="007E1595" w:rsidRDefault="007E1595" w:rsidP="007E159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11.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Sportsko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)“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ab/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korisnicima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dnevnike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obrasce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zapisnika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potvrda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privremenom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oduzimanju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alata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,“.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Dosadašnja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96616A" w:rsidRPr="007E1595" w:rsidRDefault="007E1595" w:rsidP="0096616A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)“.</w:t>
      </w: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„(3)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Uvjerenje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položenom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ribolovačkom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ispitu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izdaće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evidentirano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ribolovac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neprekidnom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prekršajna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nezakonit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>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sezonska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),“.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Dosadašnje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„(3)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Mjesečnu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sedmičnu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dnevnu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ribolovac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kupi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.“ 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3, 4, 5.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4, 5, 6.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</w:p>
    <w:p w:rsidR="0096616A" w:rsidRPr="007E1595" w:rsidRDefault="007E1595" w:rsidP="0096616A">
      <w:pPr>
        <w:tabs>
          <w:tab w:val="left" w:pos="4678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widowControl w:val="0"/>
        <w:spacing w:after="0" w:line="240" w:lineRule="auto"/>
        <w:jc w:val="both"/>
        <w:outlineLvl w:val="1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36.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widowControl w:val="0"/>
        <w:spacing w:after="0" w:line="240" w:lineRule="auto"/>
        <w:jc w:val="both"/>
        <w:outlineLvl w:val="1"/>
        <w:rPr>
          <w:rFonts w:ascii="Times New Roman" w:hAnsi="Times New Roman"/>
          <w:noProof/>
          <w:sz w:val="24"/>
          <w:szCs w:val="24"/>
          <w:lang w:val="sr-Latn-CS" w:eastAsia="x-none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>„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(1)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Korisnik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prodaje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godišnje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dozvole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ribolovnu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zonu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mu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dodijeljena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ribolovcima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imaju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prebivalište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području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jedinice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lokalne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samouprave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kojoj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nalazi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ribolovna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zona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po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cijeni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utvrđena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odlukom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35.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6.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>.</w:t>
      </w:r>
    </w:p>
    <w:p w:rsidR="0096616A" w:rsidRPr="007E1595" w:rsidRDefault="0096616A" w:rsidP="0096616A">
      <w:pPr>
        <w:widowControl w:val="0"/>
        <w:spacing w:after="0" w:line="240" w:lineRule="auto"/>
        <w:jc w:val="both"/>
        <w:outlineLvl w:val="1"/>
        <w:rPr>
          <w:rFonts w:ascii="Times New Roman" w:hAnsi="Times New Roman"/>
          <w:noProof/>
          <w:sz w:val="24"/>
          <w:szCs w:val="24"/>
          <w:lang w:val="sr-Latn-CS" w:eastAsia="x-none"/>
        </w:rPr>
      </w:pP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Izuzetno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godišnja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dozvola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sportski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ribolovce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invalide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I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IV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kategorije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vrijedi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svim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ribolovnim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vodama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području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Republike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>.</w:t>
      </w:r>
    </w:p>
    <w:p w:rsidR="0096616A" w:rsidRPr="007E1595" w:rsidRDefault="0096616A" w:rsidP="0096616A">
      <w:pPr>
        <w:widowControl w:val="0"/>
        <w:spacing w:after="0" w:line="240" w:lineRule="auto"/>
        <w:jc w:val="both"/>
        <w:outlineLvl w:val="1"/>
        <w:rPr>
          <w:rFonts w:ascii="Times New Roman" w:hAnsi="Times New Roman"/>
          <w:noProof/>
          <w:sz w:val="24"/>
          <w:szCs w:val="24"/>
          <w:lang w:val="sr-Latn-CS" w:eastAsia="x-none"/>
        </w:rPr>
      </w:pP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ab/>
        <w:t xml:space="preserve">(3)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Godišnja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dozvola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. 1.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važi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uz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člansku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kartu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Saveza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>.</w:t>
      </w:r>
    </w:p>
    <w:p w:rsidR="0096616A" w:rsidRPr="007E1595" w:rsidRDefault="0096616A" w:rsidP="0096616A">
      <w:pPr>
        <w:widowControl w:val="0"/>
        <w:spacing w:after="0" w:line="240" w:lineRule="auto"/>
        <w:ind w:firstLine="720"/>
        <w:jc w:val="both"/>
        <w:outlineLvl w:val="1"/>
        <w:rPr>
          <w:rFonts w:ascii="Times New Roman" w:hAnsi="Times New Roman"/>
          <w:noProof/>
          <w:sz w:val="24"/>
          <w:szCs w:val="24"/>
          <w:lang w:val="sr-Latn-CS" w:eastAsia="x-none"/>
        </w:rPr>
      </w:pP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(4)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Godišnja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dozvola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važi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ribolovnoj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zoni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drugog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korisnika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ako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korisnici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zaključe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ugovor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pravu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reciprociteta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>.</w:t>
      </w:r>
    </w:p>
    <w:p w:rsidR="0096616A" w:rsidRPr="007E1595" w:rsidRDefault="0096616A" w:rsidP="0096616A">
      <w:pPr>
        <w:widowControl w:val="0"/>
        <w:spacing w:after="0" w:line="240" w:lineRule="auto"/>
        <w:jc w:val="both"/>
        <w:outlineLvl w:val="1"/>
        <w:rPr>
          <w:rFonts w:ascii="Times New Roman" w:hAnsi="Times New Roman"/>
          <w:noProof/>
          <w:sz w:val="24"/>
          <w:szCs w:val="24"/>
          <w:lang w:val="sr-Latn-CS" w:eastAsia="x-none"/>
        </w:rPr>
      </w:pP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ab/>
        <w:t xml:space="preserve">(5)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Ako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korisnici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nemaju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zaključen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ugovor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4.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ribolovac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želi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sportski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ribolovnoj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zoni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drugog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korisnika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pored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godišnje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dozvole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mora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imati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talon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. </w:t>
      </w:r>
    </w:p>
    <w:p w:rsidR="0096616A" w:rsidRPr="007E1595" w:rsidRDefault="0096616A" w:rsidP="0096616A">
      <w:pPr>
        <w:widowControl w:val="0"/>
        <w:spacing w:after="0" w:line="240" w:lineRule="auto"/>
        <w:jc w:val="both"/>
        <w:outlineLvl w:val="1"/>
        <w:rPr>
          <w:rFonts w:ascii="Times New Roman" w:hAnsi="Times New Roman"/>
          <w:noProof/>
          <w:sz w:val="24"/>
          <w:szCs w:val="24"/>
          <w:lang w:val="sr-Latn-CS" w:eastAsia="x-none"/>
        </w:rPr>
      </w:pP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ab/>
        <w:t xml:space="preserve">(6)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Talon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5.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ribolovac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dužan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kupi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kod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korisnika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ribočuvara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kojoj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sportski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x-none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 w:eastAsia="x-none"/>
        </w:rPr>
        <w:t>.“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opravdanosti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48.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oplemenjivanja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tehnika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organizmi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uzgajivača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čitave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faze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(3)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planska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kontrolisana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intenzivna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ishrana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postigne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određena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dužina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težina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(4)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odvojeni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prirodnog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barijerama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sprečavaju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bježanje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uzgajanih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jedinki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biološkog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sposobni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prežive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razmnožavaju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48.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48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48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ribnjak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kavez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zatvoreni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Ribnjak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ograničena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tokova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odvojena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površina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organizmi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puniti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potpuno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isprazniti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(3)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Kavez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ograđeni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prostor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postavljen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(4)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Zatvoreni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sredini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podrazumijeva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uključuje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recirkulaciju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(5)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gajenje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bazeni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izgrađeni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‒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nosilac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gazdinstva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oplemenjivanje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upisani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poljoprivrednih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gazdinstava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RPG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prijavili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pribavili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prodaju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vlastitom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vlastite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ispuniti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(3)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podnesenog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(4)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poslovno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ime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sjedište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privrednog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društva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preduzetnika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ime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adresu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fizičkog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naziv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lokacijom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objekta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pStyle w:val="ListParagraph"/>
        <w:widowControl w:val="0"/>
        <w:tabs>
          <w:tab w:val="left" w:pos="284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prostorne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koordinate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površinu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zapreminu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objekta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vrstu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bCs/>
          <w:noProof/>
          <w:sz w:val="24"/>
          <w:szCs w:val="24"/>
          <w:lang w:val="sr-Latn-CS"/>
        </w:rPr>
        <w:t>količinu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uzgajati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(5)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left="360" w:firstLine="20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left="360" w:firstLine="20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96616A" w:rsidRPr="007E1595" w:rsidRDefault="0096616A" w:rsidP="0096616A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veterinarskih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veterinarstvu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tip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48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skicu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pojedinačnom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površinom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zaposlenju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osposobljeno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(6)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ističe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vidnom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mjestu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(7)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podliježe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reviziji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(8)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brine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isteku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(9)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upisuje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elektronskoj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(10)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 49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49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49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izmjene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doneseno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njenog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nastanka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Default="0096616A" w:rsidP="007E1595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uzgajanje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upisani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promjena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prostornih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koordinata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površine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upisane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E1595" w:rsidRPr="007E1595" w:rsidRDefault="007E1595" w:rsidP="007E1595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49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Organska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organske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dozvoljen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modifikovanih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20.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50.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smrti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izdato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likvidacije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brisanja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brisanja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RPG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neprijavljivanja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RPG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tekućoj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prestalo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ukida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uzgaja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doneseno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netačnih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49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naknadno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ostavljenom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dostavljen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pridržava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prestane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21.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srednju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spremu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četvrtog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stepena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osposobljeno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7, 8.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6, 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22.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nosilac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gazdinstva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mlađi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oplođene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ikre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Default="0096616A" w:rsidP="007E159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Pr="007E1595" w:rsidRDefault="007E1595" w:rsidP="007E159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23.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56.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koncesionar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organizuju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ribočuvarsku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službu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osigurava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neodređeno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koncesionara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96616A" w:rsidRPr="007E1595" w:rsidRDefault="0096616A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četvrti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spreme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položen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osuđivan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7E1595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krivični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nepodobnim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ab/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službenog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dokazuje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značkom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legitimacijom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ab/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angažovanjem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volontera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granica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parka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zaštićenog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prirodnog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dobra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čuvar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(7)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zatraži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policijskih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otpor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takav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otpor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osnovano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očekivati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detaljnije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propisuju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tehnički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organizovanja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ribočuvarske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dnevnih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službena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oprema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izgled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ribočuvarske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značke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ribočuvarske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legitimacije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Pr="007E1595" w:rsidRDefault="007E1595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24.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25.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talone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,“.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volonter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).“</w:t>
      </w:r>
    </w:p>
    <w:p w:rsidR="0096616A" w:rsidRDefault="0096616A" w:rsidP="007E1595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2, 3, 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3, 4, 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7E1595" w:rsidRPr="007E1595" w:rsidRDefault="007E1595" w:rsidP="007E1595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26.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optimalne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strukture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veličine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populacija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autohtonim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mlađi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proizvedenom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mrestilištu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mlađi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oplođene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ikre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(3)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ovlašćeno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porijeklo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ispravnost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mlađi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ispravnosti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izvršenom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sastavlja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(4)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obavještava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mjestu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vremenu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48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NoSpacing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(5)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mlađi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48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(6)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unositi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alohtone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27.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oplođene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ikre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mlađi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mrestilištu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pribavilo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odvojen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prirodnog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barijerama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sprečavaju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bježanje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uzgajanih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jedinki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biološkog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sposobni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prežive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razmnožavaju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(3)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podnesenog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mrestilišta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mrestilište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pojedinačno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(4)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7E1595" w:rsidP="0096616A">
      <w:pPr>
        <w:pStyle w:val="Heading3"/>
        <w:widowControl w:val="0"/>
        <w:spacing w:before="0" w:after="0"/>
        <w:ind w:left="720"/>
        <w:rPr>
          <w:rFonts w:ascii="Times New Roman" w:hAnsi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a</w:t>
      </w:r>
      <w:r w:rsidR="0096616A" w:rsidRPr="007E1595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naziv</w:t>
      </w:r>
      <w:r w:rsidR="0096616A" w:rsidRPr="007E1595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sjedište</w:t>
      </w:r>
      <w:r w:rsidR="0096616A" w:rsidRPr="007E1595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pravnog</w:t>
      </w:r>
      <w:r w:rsidR="0096616A" w:rsidRPr="007E1595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lica</w:t>
      </w:r>
      <w:r w:rsidR="0096616A" w:rsidRPr="007E1595">
        <w:rPr>
          <w:rFonts w:ascii="Times New Roman" w:hAnsi="Times New Roman"/>
          <w:b w:val="0"/>
          <w:noProof/>
          <w:sz w:val="24"/>
          <w:szCs w:val="24"/>
          <w:lang w:val="sr-Latn-CS"/>
        </w:rPr>
        <w:t>,</w:t>
      </w:r>
    </w:p>
    <w:p w:rsidR="0096616A" w:rsidRPr="007E1595" w:rsidRDefault="007E1595" w:rsidP="0096616A">
      <w:pPr>
        <w:pStyle w:val="ListParagraph"/>
        <w:widowControl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lokacijom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mrestilišta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7E1595" w:rsidP="0096616A">
      <w:pPr>
        <w:pStyle w:val="ListParagraph"/>
        <w:widowControl w:val="0"/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koordinate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površinu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zapreminu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mrestilišta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96616A" w:rsidRPr="007E1595" w:rsidRDefault="007E1595" w:rsidP="0096616A">
      <w:pPr>
        <w:pStyle w:val="ListParagraph"/>
        <w:widowControl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količinu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proizvoditi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upotrebnu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96616A" w:rsidRPr="007E1595" w:rsidRDefault="0096616A" w:rsidP="0096616A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veterinarskih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veterinarstva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skicu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lokacije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površinom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zapreminom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mrestilišta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zaposlenju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vodeni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organizmi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autohtonim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vrstama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poribljavanje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odgovarajućih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slivova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(6)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ističe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vidnom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mjestu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(7)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podliježe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reviziji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(8)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brine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isteku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(9)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upisuje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elektronskoj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(10)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widowControl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izmjene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doneseno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nastanka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uzgajanje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izdato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promjena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prostornih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koordinata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površine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upisane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(3)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dozvoljen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modifikovanog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widowControl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stečaja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likvidacije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brisanja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proizvođač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prestao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ukida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proizvođač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uzgaja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izdato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netačnih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naknadno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ostavljenom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dostavljen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prodaji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pridržava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prestane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Default="0096616A" w:rsidP="0096616A">
      <w:pPr>
        <w:widowControl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Pr="007E1595" w:rsidRDefault="007E1595" w:rsidP="0096616A">
      <w:pPr>
        <w:widowControl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završenim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prvim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ciklusom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stočarstvo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‒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zootehnika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biologije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ihtiologija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180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Ѕ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bodova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ekvivalentom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položenim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ispitom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komisiju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biologije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uvjerenje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položenom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ispitu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položenim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ispitima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Članovima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Kandidat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uplaćuju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6616A" w:rsidRPr="007E1595" w:rsidRDefault="0096616A" w:rsidP="0096616A">
      <w:pPr>
        <w:widowControl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prodaji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prodaji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28.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zapetom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zapetom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>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izvorištima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dozvoljeno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loviti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prouzrokovati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zagađenje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izvorišta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opstanak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narušavanje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biodiverziteta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.“ 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29.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70.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„(5)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naučnoistraživačke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registrovane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ihtiologije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ekologije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ovlašćenje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7E159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30.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dobru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kaveza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vađenje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vodotoka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jezera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neposrednoj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blizini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dobra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vađenje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šljunka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kamena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sječa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šume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blizini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izvorišta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izvlačenje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trupaca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koritom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potoka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poljoprivredne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njenoj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neposrednoj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blizini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koncesionarom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sklopi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7E159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31.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pričine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prouzrokuju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opstanak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kontaminacijom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zagađenjem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nezakonitom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eksploatacijom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vodotoka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jezera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nezakonitim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dobra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bespravnim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ulovom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ispuštanjem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vještačkih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jezera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akumulacija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pregrađivanjem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vodotoka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ispuštanjem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neprečišćenih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industrijskih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kanalizacionih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otpadnih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izgradnjom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električne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nadoknade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pričinjenu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obligacionih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759C2" w:rsidRDefault="00F759C2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759C2" w:rsidRDefault="00F759C2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759C2" w:rsidRDefault="00F759C2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759C2" w:rsidRDefault="00F759C2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759C2" w:rsidRDefault="00F759C2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759C2" w:rsidRDefault="00F759C2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759C2" w:rsidRDefault="00F759C2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32.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74.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VIII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RIBARSTVU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33.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76.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76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 76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76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76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Sredstva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finansiranje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obnove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očuvanja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održivog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ribljeg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fonda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ribolovnim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vodama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povećanja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brojnosti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poboljšanja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kvaliteta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autohtonih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rijetkih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ugroženih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njihovih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obezbjeđuju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: 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namjenskih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sredstava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budžeta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budžeta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jedinica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lokalnih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samouprava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vlastitih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prihoda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korisnika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76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Sredstva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76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ovog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koriste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finansiranje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obnove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zaštite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očuvanja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održivog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korišćenja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ribljeg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fonda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ribolovnim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vodama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organizovanje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opremanje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obuka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ribočuvarske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službe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obilježavanje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ribarskog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ribolovne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zone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sanacija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degradiranih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drugo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povećanja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brojnosti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poboljšanja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kvaliteta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rijetkih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ugroženih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njihovog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staništa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razvoja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akvakulture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kao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izradu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realizaciju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Programa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razvoja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ribarstva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akvakulture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monitoring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kvantitativno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kvalitativnog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sastava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uzrasne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strukture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produkcije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ribljeg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fonda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opterećenja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ribolovnih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obavljanje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sanacionog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ribolova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izradu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naučnih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stručnih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studija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procjene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stanja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ribljeg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fonda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promociju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sportskog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privredno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sportskog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ribolova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istraživanja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fizičko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hemijskog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biološkog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kvaliteta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ribolovnih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đ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istraživanja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području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primarne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sekundarne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organske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produkcije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istraživanja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uticaja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unošenja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ribljih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vrsta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ribolovne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objekte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uzgoj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introdukcija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reintrodukcija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translokacija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invazione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vrste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strane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vrste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itd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.),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ž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procjenu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uticaja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klimatskih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promjena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život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vodenih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organizama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sprovođenje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mjera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ublažavanje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posljedica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izgradnju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opremanje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objekata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proizvodnju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uzgoj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genetskog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materijala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poribljavanje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inovacije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ekološke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mjera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akvakulturi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proizvodnji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genetskog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materijala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poribljavanje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nabavku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opreme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preradu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ribe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promociju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proizvoda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akvakulture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</w:p>
    <w:p w:rsidR="0096616A" w:rsidRPr="007E1595" w:rsidRDefault="007E1595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>k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>uspostavljanje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>vođenje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>i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>ažuriranje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>ribarskog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>katastra</w:t>
      </w:r>
      <w:r w:rsidR="0096616A" w:rsidRPr="007E1595"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  <w:t>.</w:t>
      </w:r>
    </w:p>
    <w:p w:rsidR="0096616A" w:rsidRPr="007E1595" w:rsidRDefault="0096616A" w:rsidP="0096616A">
      <w:pPr>
        <w:shd w:val="clear" w:color="auto" w:fill="FFFFFF"/>
        <w:spacing w:after="0" w:line="240" w:lineRule="auto"/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</w:pPr>
    </w:p>
    <w:p w:rsidR="0096616A" w:rsidRPr="007E1595" w:rsidRDefault="0096616A" w:rsidP="0096616A">
      <w:pPr>
        <w:shd w:val="clear" w:color="auto" w:fill="FFFFFF"/>
        <w:spacing w:after="0" w:line="240" w:lineRule="auto"/>
        <w:rPr>
          <w:rFonts w:ascii="Times New Roman" w:hAnsi="Times New Roman"/>
          <w:noProof/>
          <w:color w:val="000000" w:themeColor="text1"/>
          <w:sz w:val="24"/>
          <w:szCs w:val="24"/>
          <w:lang w:val="sr-Latn-CS" w:eastAsia="sr-Latn-BA"/>
        </w:rPr>
      </w:pPr>
    </w:p>
    <w:p w:rsidR="00F759C2" w:rsidRDefault="00F759C2" w:rsidP="0096616A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:rsidR="00F759C2" w:rsidRDefault="00F759C2" w:rsidP="0096616A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:rsidR="0096616A" w:rsidRPr="007E1595" w:rsidRDefault="007E1595" w:rsidP="0096616A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lastRenderedPageBreak/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76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:rsidR="0096616A" w:rsidRPr="007E1595" w:rsidRDefault="0096616A" w:rsidP="0096616A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:rsidR="0096616A" w:rsidRPr="007E1595" w:rsidRDefault="0096616A" w:rsidP="009661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(1)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Sredstva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76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mogu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dodijeliti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pravnom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licu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preduzetniku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fizičkom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licu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‒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nosiocu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gazdinstva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prebivalištem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odnosno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sjedištem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Republici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oblasti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teritoriji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Republike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:rsidR="0096616A" w:rsidRPr="007E1595" w:rsidRDefault="0096616A" w:rsidP="00966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Pravno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sportskog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privredno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sportskog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ribolova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pored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uslova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obavezno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bude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Saveza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:rsidR="0096616A" w:rsidRPr="007E1595" w:rsidRDefault="0096616A" w:rsidP="0096616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(3)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Opšti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kriterijumi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raspodjelu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sredstava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76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7E1595" w:rsidP="0096616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učinci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invaliditetom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</w:p>
    <w:p w:rsidR="0096616A" w:rsidRPr="007E1595" w:rsidRDefault="007E1595" w:rsidP="0096616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ribljeg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ribolovnim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vodama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autohtonih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rijetkih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ugroženih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obilježenih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plodišta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96616A" w:rsidRPr="007E1595" w:rsidRDefault="007E1595" w:rsidP="0096616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7E1595" w:rsidP="0096616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poštivanje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namjensko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trošenje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finansiranim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projektima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96616A" w:rsidRPr="007E1595" w:rsidRDefault="007E1595" w:rsidP="0096616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vlastitih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(4)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Sredstva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76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dodjeljuju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propisima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kojima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uređuje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 w:eastAsia="sr-Latn-BA"/>
        </w:rPr>
        <w:t>oblast</w:t>
      </w:r>
      <w:r w:rsidRPr="007E1595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podsticaja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poljoprivredu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ruralni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34.</w:t>
      </w:r>
    </w:p>
    <w:p w:rsidR="0096616A" w:rsidRPr="007E1595" w:rsidRDefault="0096616A" w:rsidP="0096616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„(2)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primjenom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donesenih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Republička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inspekcijske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posredstvom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35.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78.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inspekcija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dužnost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kontroliše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alate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količinu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ulovljene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uskladio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96616A" w:rsidRPr="007E1595" w:rsidRDefault="007E1595" w:rsidP="0096616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obilježio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ribarskih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revira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ustupljena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ribočuvarske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osigurava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96616A" w:rsidRPr="007E1595" w:rsidRDefault="007E1595" w:rsidP="0096616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kontroliše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povjerenih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sezonske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mjesečne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sedmične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dnevne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talone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ribolovcu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obrascima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ulovljena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ugostiteljskim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restoranima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prodavnicama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ribarnicama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tržnicama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zelenim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pijacama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7E1595" w:rsidP="0096616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porijeklo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ugostiteljskim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restoranima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prodavnicama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ribarnicama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tržnicama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zelenim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pijacama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koncesionar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Studijom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ekonomske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opravdanosti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odvojeni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prirodnog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barijerama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sprečavaju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bježanje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uzgajanih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jedinki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biološkog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sposobni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prežive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razmnožavaju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‒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nosilac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gazdinstva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oplemenjivanja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doneseno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kontroliše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organizmi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izdato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modifikovani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organizmi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kontroliše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terenu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dnevnike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7E1595" w:rsidP="009661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identifikuje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zatečeno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ribolovu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ribolovnoj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kontroliše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mamce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alate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količinu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ulovljene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lovostaju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minimalnim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veličinama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maksimalnom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ulovu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osnovano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sumnja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njemu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prevozi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ulovljena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nedozvoljenom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nedozvoljenih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alata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endemskih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rijetkih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ugroženih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revira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96616A" w:rsidRPr="007E1595" w:rsidRDefault="007E1595" w:rsidP="009661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translokaciju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elektroribolov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selektivni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programima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vađenje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šljunka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pijeska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kamena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panjeva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zahvatanje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crpljenje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staništima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ometaju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život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obnavljanje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populacija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ć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kontroliše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zdravim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proizvedenim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registrovanom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mrestilištu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primjenu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ograničenja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ekosistema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spasavanje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mlađi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poplavljenog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sušnog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pričinjava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šteta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organizmima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staništima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primjenom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36.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80.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3.000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9.000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koncesionar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widowControl w:val="0"/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područjima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dozvoljeno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gući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ustupi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subjektu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prouzrokuje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pogoršanje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hidroloških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hemijskih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bioloških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osobina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ribočuvarsku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službu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 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obilježi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granice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revira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dodijeljena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3100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dopunu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8),</w:t>
      </w:r>
    </w:p>
    <w:p w:rsidR="0096616A" w:rsidRPr="007E1595" w:rsidRDefault="007E1595" w:rsidP="0093100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ribolovnu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zonu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godišnjim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ribolovcima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nemaju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položen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nemaju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ulovljenu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ribočuvarsku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službu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obilježi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granice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potpisivanja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koncesiji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ribarskih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revira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44),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7E1595" w:rsidP="0096616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dugoročno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ribljeg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staništa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47),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odvojeni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prirodnog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barijerama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sprečavaju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bježanje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uzgajanih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jedinki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biološkog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48.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upisan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RPG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prijavljen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RPG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uzgaja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modifikovane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organizme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49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ribočuvarsku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službu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ribočuvarske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56.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ć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prenošenje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63.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64a.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nedozvoljeno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zabranjene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66.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67), 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naučnoistraživačke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70.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odobren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naučnoistraživačke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70.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dž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elektroribolov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osigurava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nesmetan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prolaz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6).</w:t>
      </w:r>
    </w:p>
    <w:p w:rsidR="0096616A" w:rsidRPr="007E1595" w:rsidRDefault="0096616A" w:rsidP="007E1595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1.500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koncesionara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F759C2" w:rsidRDefault="00F759C2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37.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2.000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6.000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koncesionar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plati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:rsidR="0096616A" w:rsidRPr="007E1595" w:rsidRDefault="0096616A" w:rsidP="0096616A">
      <w:pPr>
        <w:widowControl w:val="0"/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područjima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dozvoljeno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količina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premaši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dozvoljenu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nedozvoljenim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alatima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poštuje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obavijesti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zabranama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ograničenjima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1,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finalni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2), 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ribolovcima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36.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46),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nedozvoljenih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alata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plovnih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tekuću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ribolovcu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dostavio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38.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takmičenje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ribolovaca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39),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49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uzgaja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odobrenju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49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udaljenosti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manjoj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metara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granice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kaveza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ograde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osposobljeno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oduzimanje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alata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ulova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sudskom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raspolaže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oduzetom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opremom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ulovom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sudskom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59.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sanacioni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koncesionar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obavijesti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Inspektorat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:rsidR="0096616A" w:rsidRPr="007E1595" w:rsidRDefault="0096616A" w:rsidP="0096616A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1, 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4).</w:t>
      </w:r>
    </w:p>
    <w:p w:rsidR="0096616A" w:rsidRPr="007E1595" w:rsidRDefault="0096616A" w:rsidP="007E1595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400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1.200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koncesionara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7E1595" w:rsidRDefault="007E1595" w:rsidP="00F759C2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38.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>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ustupljena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Savezu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4),“.</w:t>
      </w:r>
    </w:p>
    <w:p w:rsidR="0096616A" w:rsidRPr="007E1595" w:rsidRDefault="0096616A" w:rsidP="007E159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Dosadašnje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39.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>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2.000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6.000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vodenih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organizama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ribolovnoj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zoni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24.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uskrati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članstvo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zainteresovanim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subjektima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povezana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ribarstvom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povjerene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33.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7),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distribuciju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korisnicima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koncesionarima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sklopljen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koncesiji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2).“</w:t>
      </w:r>
    </w:p>
    <w:p w:rsidR="0096616A" w:rsidRDefault="0096616A" w:rsidP="007E159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Pr="007E1595" w:rsidRDefault="007E1595" w:rsidP="007E159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40.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>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ribljeg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4),“.</w:t>
      </w:r>
    </w:p>
    <w:p w:rsidR="0096616A" w:rsidRDefault="0096616A" w:rsidP="007E1595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dosadašnje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7E1595" w:rsidRPr="007E1595" w:rsidRDefault="007E1595" w:rsidP="007E1595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41.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85.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85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85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7),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prodaji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2).“</w:t>
      </w:r>
    </w:p>
    <w:p w:rsidR="007E1595" w:rsidRDefault="007E1595" w:rsidP="00F759C2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62BD2" w:rsidRDefault="00862BD2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42.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87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87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„(1)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akvakulture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genetskog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poribljavanje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usklade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616A" w:rsidRPr="007E1595" w:rsidRDefault="0096616A" w:rsidP="0096616A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52.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64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polože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E1595" w:rsidRDefault="0096616A" w:rsidP="007E1595">
      <w:pPr>
        <w:spacing w:after="0" w:line="240" w:lineRule="auto"/>
        <w:ind w:firstLine="426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7E1595">
        <w:rPr>
          <w:rFonts w:ascii="Times New Roman" w:hAnsi="Times New Roman"/>
          <w:noProof/>
          <w:sz w:val="24"/>
          <w:szCs w:val="24"/>
          <w:lang w:val="sr-Latn-CS"/>
        </w:rPr>
        <w:tab/>
        <w:t>(3)</w:t>
      </w:r>
      <w:r w:rsidRPr="007E1595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. 18, 26, 34, 52.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57.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dobila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uvjerenje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položenom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ispitu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uvjerenje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izdato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7E1595" w:rsidRDefault="007E1595" w:rsidP="007E1595">
      <w:pPr>
        <w:tabs>
          <w:tab w:val="left" w:pos="4155"/>
          <w:tab w:val="center" w:pos="4702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7E1595">
      <w:pPr>
        <w:tabs>
          <w:tab w:val="left" w:pos="4155"/>
          <w:tab w:val="center" w:pos="4702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ab/>
        <w:t>Član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43.</w:t>
      </w:r>
    </w:p>
    <w:p w:rsidR="0096616A" w:rsidRPr="007E1595" w:rsidRDefault="0096616A" w:rsidP="009661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pStyle w:val="Normal1"/>
        <w:spacing w:before="0" w:beforeAutospacing="0" w:after="0" w:afterAutospacing="0"/>
        <w:ind w:firstLine="426"/>
        <w:jc w:val="both"/>
        <w:rPr>
          <w:noProof/>
          <w:lang w:val="sr-Latn-CS"/>
        </w:rPr>
      </w:pPr>
      <w:r w:rsidRPr="007E1595">
        <w:rPr>
          <w:rStyle w:val="normalchar"/>
          <w:noProof/>
          <w:lang w:val="sr-Latn-CS"/>
        </w:rPr>
        <w:tab/>
      </w:r>
      <w:r w:rsidR="007E1595">
        <w:rPr>
          <w:rStyle w:val="normalchar"/>
          <w:noProof/>
          <w:lang w:val="sr-Latn-CS"/>
        </w:rPr>
        <w:t>Ovaj</w:t>
      </w:r>
      <w:r w:rsidRPr="007E1595">
        <w:rPr>
          <w:rStyle w:val="normalchar"/>
          <w:noProof/>
          <w:lang w:val="sr-Latn-CS"/>
        </w:rPr>
        <w:t xml:space="preserve"> </w:t>
      </w:r>
      <w:r w:rsidR="007E1595">
        <w:rPr>
          <w:rStyle w:val="normalchar"/>
          <w:noProof/>
          <w:lang w:val="sr-Latn-CS"/>
        </w:rPr>
        <w:t>zakon</w:t>
      </w:r>
      <w:r w:rsidRPr="007E1595">
        <w:rPr>
          <w:rStyle w:val="normalchar"/>
          <w:noProof/>
          <w:lang w:val="sr-Latn-CS"/>
        </w:rPr>
        <w:t xml:space="preserve"> </w:t>
      </w:r>
      <w:r w:rsidR="007E1595">
        <w:rPr>
          <w:rStyle w:val="normalchar"/>
          <w:noProof/>
          <w:lang w:val="sr-Latn-CS"/>
        </w:rPr>
        <w:t>stupa</w:t>
      </w:r>
      <w:r w:rsidRPr="007E1595">
        <w:rPr>
          <w:rStyle w:val="normalchar"/>
          <w:noProof/>
          <w:lang w:val="sr-Latn-CS"/>
        </w:rPr>
        <w:t xml:space="preserve"> </w:t>
      </w:r>
      <w:r w:rsidR="007E1595">
        <w:rPr>
          <w:rStyle w:val="normalchar"/>
          <w:noProof/>
          <w:lang w:val="sr-Latn-CS"/>
        </w:rPr>
        <w:t>na</w:t>
      </w:r>
      <w:r w:rsidRPr="007E1595">
        <w:rPr>
          <w:rStyle w:val="normalchar"/>
          <w:noProof/>
          <w:lang w:val="sr-Latn-CS"/>
        </w:rPr>
        <w:t xml:space="preserve"> </w:t>
      </w:r>
      <w:r w:rsidR="007E1595">
        <w:rPr>
          <w:rStyle w:val="normalchar"/>
          <w:noProof/>
          <w:lang w:val="sr-Latn-CS"/>
        </w:rPr>
        <w:t>snagu</w:t>
      </w:r>
      <w:r w:rsidRPr="007E1595">
        <w:rPr>
          <w:rStyle w:val="normalchar"/>
          <w:noProof/>
          <w:lang w:val="sr-Latn-CS"/>
        </w:rPr>
        <w:t xml:space="preserve"> </w:t>
      </w:r>
      <w:r w:rsidR="007E1595">
        <w:rPr>
          <w:rStyle w:val="normalchar"/>
          <w:noProof/>
          <w:lang w:val="sr-Latn-CS"/>
        </w:rPr>
        <w:t>osmog</w:t>
      </w:r>
      <w:r w:rsidRPr="007E1595">
        <w:rPr>
          <w:rStyle w:val="normalchar"/>
          <w:noProof/>
          <w:lang w:val="sr-Latn-CS"/>
        </w:rPr>
        <w:t xml:space="preserve"> </w:t>
      </w:r>
      <w:r w:rsidR="007E1595">
        <w:rPr>
          <w:rStyle w:val="normalchar"/>
          <w:noProof/>
          <w:lang w:val="sr-Latn-CS"/>
        </w:rPr>
        <w:t>dana</w:t>
      </w:r>
      <w:r w:rsidRPr="007E1595">
        <w:rPr>
          <w:rStyle w:val="normalchar"/>
          <w:noProof/>
          <w:lang w:val="sr-Latn-CS"/>
        </w:rPr>
        <w:t xml:space="preserve"> </w:t>
      </w:r>
      <w:r w:rsidR="007E1595">
        <w:rPr>
          <w:rStyle w:val="normalchar"/>
          <w:noProof/>
          <w:lang w:val="sr-Latn-CS"/>
        </w:rPr>
        <w:t>od</w:t>
      </w:r>
      <w:r w:rsidRPr="007E1595">
        <w:rPr>
          <w:rStyle w:val="normalchar"/>
          <w:noProof/>
          <w:lang w:val="sr-Latn-CS"/>
        </w:rPr>
        <w:t xml:space="preserve"> </w:t>
      </w:r>
      <w:r w:rsidR="007E1595">
        <w:rPr>
          <w:rStyle w:val="normalchar"/>
          <w:noProof/>
          <w:lang w:val="sr-Latn-CS"/>
        </w:rPr>
        <w:t>dana</w:t>
      </w:r>
      <w:r w:rsidRPr="007E1595">
        <w:rPr>
          <w:rStyle w:val="normalchar"/>
          <w:noProof/>
          <w:lang w:val="sr-Latn-CS"/>
        </w:rPr>
        <w:t xml:space="preserve"> </w:t>
      </w:r>
      <w:r w:rsidR="007E1595">
        <w:rPr>
          <w:rStyle w:val="normalchar"/>
          <w:noProof/>
          <w:lang w:val="sr-Latn-CS"/>
        </w:rPr>
        <w:t>objavljivanja</w:t>
      </w:r>
      <w:r w:rsidRPr="007E1595">
        <w:rPr>
          <w:rStyle w:val="normalchar"/>
          <w:noProof/>
          <w:lang w:val="sr-Latn-CS"/>
        </w:rPr>
        <w:t xml:space="preserve"> </w:t>
      </w:r>
      <w:r w:rsidR="007E1595">
        <w:rPr>
          <w:rStyle w:val="normalchar"/>
          <w:noProof/>
          <w:lang w:val="sr-Latn-CS"/>
        </w:rPr>
        <w:t>u</w:t>
      </w:r>
      <w:r w:rsidRPr="007E1595">
        <w:rPr>
          <w:rStyle w:val="normalchar"/>
          <w:noProof/>
          <w:lang w:val="sr-Latn-CS"/>
        </w:rPr>
        <w:t xml:space="preserve"> „</w:t>
      </w:r>
      <w:r w:rsidR="007E1595">
        <w:rPr>
          <w:rStyle w:val="normalchar"/>
          <w:noProof/>
          <w:lang w:val="sr-Latn-CS"/>
        </w:rPr>
        <w:t>Službenom</w:t>
      </w:r>
      <w:r w:rsidRPr="007E1595">
        <w:rPr>
          <w:rStyle w:val="normalchar"/>
          <w:noProof/>
          <w:lang w:val="sr-Latn-CS"/>
        </w:rPr>
        <w:t xml:space="preserve"> </w:t>
      </w:r>
      <w:r w:rsidR="007E1595">
        <w:rPr>
          <w:rStyle w:val="normalchar"/>
          <w:noProof/>
          <w:lang w:val="sr-Latn-CS"/>
        </w:rPr>
        <w:t>glasniku</w:t>
      </w:r>
      <w:r w:rsidRPr="007E1595">
        <w:rPr>
          <w:rStyle w:val="normalchar"/>
          <w:noProof/>
          <w:lang w:val="sr-Latn-CS"/>
        </w:rPr>
        <w:t xml:space="preserve"> </w:t>
      </w:r>
      <w:r w:rsidR="007E1595">
        <w:rPr>
          <w:rStyle w:val="normalchar"/>
          <w:noProof/>
          <w:lang w:val="sr-Latn-CS"/>
        </w:rPr>
        <w:t>Republike</w:t>
      </w:r>
      <w:r w:rsidRPr="007E1595">
        <w:rPr>
          <w:rStyle w:val="normalchar"/>
          <w:noProof/>
          <w:lang w:val="sr-Latn-CS"/>
        </w:rPr>
        <w:t xml:space="preserve"> </w:t>
      </w:r>
      <w:r w:rsidR="007E1595">
        <w:rPr>
          <w:rStyle w:val="normalchar"/>
          <w:noProof/>
          <w:lang w:val="sr-Latn-CS"/>
        </w:rPr>
        <w:t>Srpske</w:t>
      </w:r>
      <w:r w:rsidRPr="007E1595">
        <w:rPr>
          <w:rStyle w:val="normalchar"/>
          <w:noProof/>
          <w:lang w:val="sr-Latn-CS"/>
        </w:rPr>
        <w:t>“.</w:t>
      </w:r>
    </w:p>
    <w:p w:rsidR="0096616A" w:rsidRDefault="0096616A" w:rsidP="0096616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Default="007E1595" w:rsidP="0096616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759C2" w:rsidRDefault="00F759C2" w:rsidP="0096616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1595" w:rsidRPr="007E1595" w:rsidRDefault="007E1595" w:rsidP="0096616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7E1595" w:rsidP="0096616A">
      <w:pPr>
        <w:tabs>
          <w:tab w:val="center" w:pos="7560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D7001E"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78F1">
        <w:rPr>
          <w:rFonts w:ascii="Times New Roman" w:hAnsi="Times New Roman"/>
          <w:noProof/>
          <w:lang w:val="sr-Latn-CS"/>
        </w:rPr>
        <w:t>02/1-021-969</w:t>
      </w:r>
      <w:bookmarkStart w:id="0" w:name="_GoBack"/>
      <w:bookmarkEnd w:id="0"/>
      <w:r w:rsidR="00D7001E" w:rsidRPr="007E1595">
        <w:rPr>
          <w:rFonts w:ascii="Times New Roman" w:hAnsi="Times New Roman"/>
          <w:noProof/>
          <w:lang w:val="sr-Latn-CS"/>
        </w:rPr>
        <w:t>/21</w:t>
      </w:r>
      <w:r w:rsidR="0096616A" w:rsidRPr="007E159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POTPREDSJEDNIK</w:t>
      </w:r>
    </w:p>
    <w:p w:rsidR="0096616A" w:rsidRPr="007E1595" w:rsidRDefault="007E1595" w:rsidP="0096616A">
      <w:pPr>
        <w:tabs>
          <w:tab w:val="center" w:pos="7560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Datum</w:t>
      </w:r>
      <w:r w:rsidR="0096616A"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>:</w:t>
      </w:r>
      <w:r w:rsidR="00D7001E"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672948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1. </w:t>
      </w:r>
      <w:r w:rsidR="00672948">
        <w:rPr>
          <w:rFonts w:ascii="Times New Roman" w:hAnsi="Times New Roman"/>
          <w:bCs/>
          <w:noProof/>
          <w:sz w:val="24"/>
          <w:szCs w:val="24"/>
        </w:rPr>
        <w:t xml:space="preserve">decembra 2021. godine </w:t>
      </w:r>
      <w:r w:rsidR="0096616A"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NARODNE</w:t>
      </w:r>
      <w:r w:rsidR="0096616A" w:rsidRPr="007E159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SKUPŠTINE</w:t>
      </w:r>
    </w:p>
    <w:p w:rsidR="0096616A" w:rsidRPr="007E1595" w:rsidRDefault="0096616A" w:rsidP="0096616A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7E1595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Denis</w:t>
      </w:r>
      <w:r w:rsidRPr="007E159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1595">
        <w:rPr>
          <w:rFonts w:ascii="Times New Roman" w:hAnsi="Times New Roman"/>
          <w:noProof/>
          <w:sz w:val="24"/>
          <w:szCs w:val="24"/>
          <w:lang w:val="sr-Latn-CS"/>
        </w:rPr>
        <w:t>Šulić</w:t>
      </w:r>
    </w:p>
    <w:p w:rsidR="0096616A" w:rsidRPr="007E1595" w:rsidRDefault="0096616A" w:rsidP="0096616A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96616A" w:rsidRPr="007E1595" w:rsidRDefault="0096616A" w:rsidP="0096616A">
      <w:pPr>
        <w:spacing w:after="160" w:line="256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840AB" w:rsidRPr="007E1595" w:rsidRDefault="000A3A41">
      <w:pPr>
        <w:rPr>
          <w:noProof/>
          <w:lang w:val="sr-Latn-CS"/>
        </w:rPr>
      </w:pPr>
    </w:p>
    <w:sectPr w:rsidR="008840AB" w:rsidRPr="007E1595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A41" w:rsidRDefault="000A3A41" w:rsidP="007E1595">
      <w:pPr>
        <w:spacing w:after="0" w:line="240" w:lineRule="auto"/>
      </w:pPr>
      <w:r>
        <w:separator/>
      </w:r>
    </w:p>
  </w:endnote>
  <w:endnote w:type="continuationSeparator" w:id="0">
    <w:p w:rsidR="000A3A41" w:rsidRDefault="000A3A41" w:rsidP="007E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A41" w:rsidRDefault="000A3A41" w:rsidP="007E1595">
      <w:pPr>
        <w:spacing w:after="0" w:line="240" w:lineRule="auto"/>
      </w:pPr>
      <w:r>
        <w:separator/>
      </w:r>
    </w:p>
  </w:footnote>
  <w:footnote w:type="continuationSeparator" w:id="0">
    <w:p w:rsidR="000A3A41" w:rsidRDefault="000A3A41" w:rsidP="007E1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7FF9"/>
    <w:multiLevelType w:val="hybridMultilevel"/>
    <w:tmpl w:val="F10C1B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626AA"/>
    <w:multiLevelType w:val="hybridMultilevel"/>
    <w:tmpl w:val="18B404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D528C"/>
    <w:multiLevelType w:val="hybridMultilevel"/>
    <w:tmpl w:val="4B3224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1454FD"/>
    <w:multiLevelType w:val="hybridMultilevel"/>
    <w:tmpl w:val="6EB6A9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485138"/>
    <w:multiLevelType w:val="hybridMultilevel"/>
    <w:tmpl w:val="A532EFE8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E39B7"/>
    <w:multiLevelType w:val="hybridMultilevel"/>
    <w:tmpl w:val="3830087A"/>
    <w:lvl w:ilvl="0" w:tplc="24146266">
      <w:start w:val="3"/>
      <w:numFmt w:val="decimal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6B78FB"/>
    <w:multiLevelType w:val="hybridMultilevel"/>
    <w:tmpl w:val="F64C8668"/>
    <w:lvl w:ilvl="0" w:tplc="4D3C6B04">
      <w:start w:val="2"/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A650C"/>
    <w:multiLevelType w:val="hybridMultilevel"/>
    <w:tmpl w:val="02DA9F26"/>
    <w:lvl w:ilvl="0" w:tplc="D7E63ABE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EF4C89"/>
    <w:multiLevelType w:val="hybridMultilevel"/>
    <w:tmpl w:val="8C52A9CC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5D4"/>
    <w:rsid w:val="000A3A41"/>
    <w:rsid w:val="000C6BF9"/>
    <w:rsid w:val="000E0C7B"/>
    <w:rsid w:val="0011139B"/>
    <w:rsid w:val="005315EB"/>
    <w:rsid w:val="00672948"/>
    <w:rsid w:val="00773522"/>
    <w:rsid w:val="007B78F1"/>
    <w:rsid w:val="007E1595"/>
    <w:rsid w:val="00862BD2"/>
    <w:rsid w:val="00931007"/>
    <w:rsid w:val="0096616A"/>
    <w:rsid w:val="00A155D4"/>
    <w:rsid w:val="00B2568B"/>
    <w:rsid w:val="00C8623B"/>
    <w:rsid w:val="00D62F96"/>
    <w:rsid w:val="00D7001E"/>
    <w:rsid w:val="00F7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16A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616A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616A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616A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616A"/>
    <w:pPr>
      <w:keepNext/>
      <w:keepLines/>
      <w:spacing w:before="40" w:after="0"/>
      <w:outlineLvl w:val="3"/>
    </w:pPr>
    <w:rPr>
      <w:rFonts w:ascii="Cambria" w:hAnsi="Cambria"/>
      <w:i/>
      <w:iCs/>
      <w:color w:val="365F9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616A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616A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616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616A"/>
    <w:rPr>
      <w:rFonts w:ascii="Cambria" w:eastAsia="Times New Roman" w:hAnsi="Cambria" w:cs="Times New Roman"/>
      <w:i/>
      <w:iCs/>
      <w:color w:val="365F91"/>
    </w:rPr>
  </w:style>
  <w:style w:type="character" w:styleId="Hyperlink">
    <w:name w:val="Hyperlink"/>
    <w:uiPriority w:val="99"/>
    <w:semiHidden/>
    <w:unhideWhenUsed/>
    <w:rsid w:val="009661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616A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661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bs-Latn-BA" w:eastAsia="bs-Latn-B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616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616A"/>
    <w:rPr>
      <w:rFonts w:ascii="Calibri" w:eastAsia="Times New Roman" w:hAnsi="Calibri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6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616A"/>
    <w:rPr>
      <w:rFonts w:ascii="Calibri" w:eastAsia="Times New Roman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6616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6616A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96616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6616A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616A"/>
    <w:rPr>
      <w:rFonts w:ascii="Cambria" w:hAnsi="Cambria"/>
      <w:i/>
      <w:color w:val="4F81BD"/>
      <w:spacing w:val="15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96616A"/>
    <w:rPr>
      <w:rFonts w:ascii="Cambria" w:eastAsia="Times New Roman" w:hAnsi="Cambria" w:cs="Times New Roman"/>
      <w:i/>
      <w:color w:val="4F81BD"/>
      <w:spacing w:val="15"/>
      <w:sz w:val="24"/>
      <w:szCs w:val="20"/>
      <w:lang w:val="x-none" w:eastAsia="x-non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6616A"/>
    <w:pPr>
      <w:spacing w:after="0" w:line="240" w:lineRule="auto"/>
      <w:jc w:val="both"/>
    </w:pPr>
    <w:rPr>
      <w:rFonts w:ascii="Cambria" w:hAnsi="Cambria"/>
      <w:b/>
      <w:sz w:val="20"/>
      <w:szCs w:val="20"/>
      <w:lang w:val="sr-Cyrl-BA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6616A"/>
    <w:rPr>
      <w:rFonts w:ascii="Cambria" w:eastAsia="Times New Roman" w:hAnsi="Cambria" w:cs="Times New Roman"/>
      <w:b/>
      <w:sz w:val="20"/>
      <w:szCs w:val="20"/>
      <w:lang w:val="sr-Cyrl-BA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16A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16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96616A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paragraph" w:styleId="Revision">
    <w:name w:val="Revision"/>
    <w:uiPriority w:val="99"/>
    <w:semiHidden/>
    <w:rsid w:val="0096616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6616A"/>
    <w:rPr>
      <w:rFonts w:ascii="Calibri" w:eastAsia="Times New Roman" w:hAnsi="Calibri" w:cs="Times New Roman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96616A"/>
    <w:pPr>
      <w:ind w:left="720"/>
      <w:contextualSpacing/>
    </w:pPr>
  </w:style>
  <w:style w:type="paragraph" w:customStyle="1" w:styleId="CharCharCharCharCharCharChar">
    <w:name w:val="Char Char Char Char Char Char Char"/>
    <w:basedOn w:val="Normal"/>
    <w:uiPriority w:val="99"/>
    <w:rsid w:val="0096616A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paragraph" w:customStyle="1" w:styleId="Normal1">
    <w:name w:val="Normal1"/>
    <w:basedOn w:val="Normal"/>
    <w:uiPriority w:val="99"/>
    <w:rsid w:val="009661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ist0020paragraph">
    <w:name w:val="list_0020paragraph"/>
    <w:basedOn w:val="Normal"/>
    <w:uiPriority w:val="99"/>
    <w:rsid w:val="009661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bs-Latn-BA" w:eastAsia="bs-Latn-BA"/>
    </w:rPr>
  </w:style>
  <w:style w:type="paragraph" w:customStyle="1" w:styleId="NormalTimes">
    <w:name w:val="Normal+Times"/>
    <w:basedOn w:val="Heading4"/>
    <w:uiPriority w:val="99"/>
    <w:rsid w:val="0096616A"/>
    <w:pPr>
      <w:keepNext w:val="0"/>
      <w:keepLines w:val="0"/>
      <w:widowControl w:val="0"/>
      <w:tabs>
        <w:tab w:val="left" w:pos="284"/>
        <w:tab w:val="left" w:pos="851"/>
      </w:tabs>
      <w:spacing w:before="0" w:line="240" w:lineRule="auto"/>
      <w:ind w:firstLine="567"/>
      <w:jc w:val="both"/>
    </w:pPr>
    <w:rPr>
      <w:rFonts w:ascii="Times New Roman" w:hAnsi="Times New Roman"/>
      <w:i w:val="0"/>
      <w:iCs w:val="0"/>
      <w:color w:val="FF0000"/>
      <w:szCs w:val="20"/>
      <w:lang w:val="bs-Cyrl-BA" w:eastAsia="x-none"/>
    </w:rPr>
  </w:style>
  <w:style w:type="paragraph" w:customStyle="1" w:styleId="Default">
    <w:name w:val="Default"/>
    <w:uiPriority w:val="99"/>
    <w:rsid w:val="0096616A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styleId="FootnoteReference">
    <w:name w:val="footnote reference"/>
    <w:uiPriority w:val="99"/>
    <w:semiHidden/>
    <w:unhideWhenUsed/>
    <w:rsid w:val="0096616A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96616A"/>
    <w:rPr>
      <w:sz w:val="16"/>
      <w:szCs w:val="16"/>
    </w:rPr>
  </w:style>
  <w:style w:type="character" w:customStyle="1" w:styleId="normalchar">
    <w:name w:val="normal__char"/>
    <w:basedOn w:val="DefaultParagraphFont"/>
    <w:rsid w:val="0096616A"/>
  </w:style>
  <w:style w:type="character" w:customStyle="1" w:styleId="list0020paragraphchar">
    <w:name w:val="list_0020paragraph__char"/>
    <w:basedOn w:val="DefaultParagraphFont"/>
    <w:rsid w:val="0096616A"/>
  </w:style>
  <w:style w:type="character" w:customStyle="1" w:styleId="kurziv">
    <w:name w:val="kurziv"/>
    <w:basedOn w:val="DefaultParagraphFont"/>
    <w:rsid w:val="0096616A"/>
  </w:style>
  <w:style w:type="character" w:customStyle="1" w:styleId="hps">
    <w:name w:val="hps"/>
    <w:rsid w:val="0096616A"/>
    <w:rPr>
      <w:rFonts w:ascii="Times New Roman" w:hAnsi="Times New Roman" w:cs="Times New Roman" w:hint="default"/>
    </w:rPr>
  </w:style>
  <w:style w:type="character" w:customStyle="1" w:styleId="highlight">
    <w:name w:val="highlight"/>
    <w:basedOn w:val="DefaultParagraphFont"/>
    <w:rsid w:val="00966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16A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616A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616A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616A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616A"/>
    <w:pPr>
      <w:keepNext/>
      <w:keepLines/>
      <w:spacing w:before="40" w:after="0"/>
      <w:outlineLvl w:val="3"/>
    </w:pPr>
    <w:rPr>
      <w:rFonts w:ascii="Cambria" w:hAnsi="Cambria"/>
      <w:i/>
      <w:iCs/>
      <w:color w:val="365F9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616A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616A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616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616A"/>
    <w:rPr>
      <w:rFonts w:ascii="Cambria" w:eastAsia="Times New Roman" w:hAnsi="Cambria" w:cs="Times New Roman"/>
      <w:i/>
      <w:iCs/>
      <w:color w:val="365F91"/>
    </w:rPr>
  </w:style>
  <w:style w:type="character" w:styleId="Hyperlink">
    <w:name w:val="Hyperlink"/>
    <w:uiPriority w:val="99"/>
    <w:semiHidden/>
    <w:unhideWhenUsed/>
    <w:rsid w:val="009661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616A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661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bs-Latn-BA" w:eastAsia="bs-Latn-B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616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616A"/>
    <w:rPr>
      <w:rFonts w:ascii="Calibri" w:eastAsia="Times New Roman" w:hAnsi="Calibri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6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616A"/>
    <w:rPr>
      <w:rFonts w:ascii="Calibri" w:eastAsia="Times New Roman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6616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6616A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96616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6616A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616A"/>
    <w:rPr>
      <w:rFonts w:ascii="Cambria" w:hAnsi="Cambria"/>
      <w:i/>
      <w:color w:val="4F81BD"/>
      <w:spacing w:val="15"/>
      <w:sz w:val="24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96616A"/>
    <w:rPr>
      <w:rFonts w:ascii="Cambria" w:eastAsia="Times New Roman" w:hAnsi="Cambria" w:cs="Times New Roman"/>
      <w:i/>
      <w:color w:val="4F81BD"/>
      <w:spacing w:val="15"/>
      <w:sz w:val="24"/>
      <w:szCs w:val="20"/>
      <w:lang w:val="x-none" w:eastAsia="x-non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6616A"/>
    <w:pPr>
      <w:spacing w:after="0" w:line="240" w:lineRule="auto"/>
      <w:jc w:val="both"/>
    </w:pPr>
    <w:rPr>
      <w:rFonts w:ascii="Cambria" w:hAnsi="Cambria"/>
      <w:b/>
      <w:sz w:val="20"/>
      <w:szCs w:val="20"/>
      <w:lang w:val="sr-Cyrl-BA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6616A"/>
    <w:rPr>
      <w:rFonts w:ascii="Cambria" w:eastAsia="Times New Roman" w:hAnsi="Cambria" w:cs="Times New Roman"/>
      <w:b/>
      <w:sz w:val="20"/>
      <w:szCs w:val="20"/>
      <w:lang w:val="sr-Cyrl-BA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16A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16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96616A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paragraph" w:styleId="Revision">
    <w:name w:val="Revision"/>
    <w:uiPriority w:val="99"/>
    <w:semiHidden/>
    <w:rsid w:val="0096616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6616A"/>
    <w:rPr>
      <w:rFonts w:ascii="Calibri" w:eastAsia="Times New Roman" w:hAnsi="Calibri" w:cs="Times New Roman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96616A"/>
    <w:pPr>
      <w:ind w:left="720"/>
      <w:contextualSpacing/>
    </w:pPr>
  </w:style>
  <w:style w:type="paragraph" w:customStyle="1" w:styleId="CharCharCharCharCharCharChar">
    <w:name w:val="Char Char Char Char Char Char Char"/>
    <w:basedOn w:val="Normal"/>
    <w:uiPriority w:val="99"/>
    <w:rsid w:val="0096616A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paragraph" w:customStyle="1" w:styleId="Normal1">
    <w:name w:val="Normal1"/>
    <w:basedOn w:val="Normal"/>
    <w:uiPriority w:val="99"/>
    <w:rsid w:val="009661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ist0020paragraph">
    <w:name w:val="list_0020paragraph"/>
    <w:basedOn w:val="Normal"/>
    <w:uiPriority w:val="99"/>
    <w:rsid w:val="009661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bs-Latn-BA" w:eastAsia="bs-Latn-BA"/>
    </w:rPr>
  </w:style>
  <w:style w:type="paragraph" w:customStyle="1" w:styleId="NormalTimes">
    <w:name w:val="Normal+Times"/>
    <w:basedOn w:val="Heading4"/>
    <w:uiPriority w:val="99"/>
    <w:rsid w:val="0096616A"/>
    <w:pPr>
      <w:keepNext w:val="0"/>
      <w:keepLines w:val="0"/>
      <w:widowControl w:val="0"/>
      <w:tabs>
        <w:tab w:val="left" w:pos="284"/>
        <w:tab w:val="left" w:pos="851"/>
      </w:tabs>
      <w:spacing w:before="0" w:line="240" w:lineRule="auto"/>
      <w:ind w:firstLine="567"/>
      <w:jc w:val="both"/>
    </w:pPr>
    <w:rPr>
      <w:rFonts w:ascii="Times New Roman" w:hAnsi="Times New Roman"/>
      <w:i w:val="0"/>
      <w:iCs w:val="0"/>
      <w:color w:val="FF0000"/>
      <w:szCs w:val="20"/>
      <w:lang w:val="bs-Cyrl-BA" w:eastAsia="x-none"/>
    </w:rPr>
  </w:style>
  <w:style w:type="paragraph" w:customStyle="1" w:styleId="Default">
    <w:name w:val="Default"/>
    <w:uiPriority w:val="99"/>
    <w:rsid w:val="0096616A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styleId="FootnoteReference">
    <w:name w:val="footnote reference"/>
    <w:uiPriority w:val="99"/>
    <w:semiHidden/>
    <w:unhideWhenUsed/>
    <w:rsid w:val="0096616A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96616A"/>
    <w:rPr>
      <w:sz w:val="16"/>
      <w:szCs w:val="16"/>
    </w:rPr>
  </w:style>
  <w:style w:type="character" w:customStyle="1" w:styleId="normalchar">
    <w:name w:val="normal__char"/>
    <w:basedOn w:val="DefaultParagraphFont"/>
    <w:rsid w:val="0096616A"/>
  </w:style>
  <w:style w:type="character" w:customStyle="1" w:styleId="list0020paragraphchar">
    <w:name w:val="list_0020paragraph__char"/>
    <w:basedOn w:val="DefaultParagraphFont"/>
    <w:rsid w:val="0096616A"/>
  </w:style>
  <w:style w:type="character" w:customStyle="1" w:styleId="kurziv">
    <w:name w:val="kurziv"/>
    <w:basedOn w:val="DefaultParagraphFont"/>
    <w:rsid w:val="0096616A"/>
  </w:style>
  <w:style w:type="character" w:customStyle="1" w:styleId="hps">
    <w:name w:val="hps"/>
    <w:rsid w:val="0096616A"/>
    <w:rPr>
      <w:rFonts w:ascii="Times New Roman" w:hAnsi="Times New Roman" w:cs="Times New Roman" w:hint="default"/>
    </w:rPr>
  </w:style>
  <w:style w:type="character" w:customStyle="1" w:styleId="highlight">
    <w:name w:val="highlight"/>
    <w:basedOn w:val="DefaultParagraphFont"/>
    <w:rsid w:val="00966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8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6391</Words>
  <Characters>36433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</dc:creator>
  <cp:keywords/>
  <dc:description/>
  <cp:lastModifiedBy>Ljiljana Timotija</cp:lastModifiedBy>
  <cp:revision>11</cp:revision>
  <cp:lastPrinted>2021-12-02T08:38:00Z</cp:lastPrinted>
  <dcterms:created xsi:type="dcterms:W3CDTF">2021-11-30T08:23:00Z</dcterms:created>
  <dcterms:modified xsi:type="dcterms:W3CDTF">2021-12-02T12:07:00Z</dcterms:modified>
</cp:coreProperties>
</file>